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075190"/>
          <w:sz w:val="16"/>
          <w:szCs w:val="16"/>
        </w:rPr>
      </w:pPr>
      <w:bookmarkStart w:id="0" w:name="_GoBack"/>
      <w:r>
        <w:rPr>
          <w:color w:val="075190"/>
          <w:sz w:val="16"/>
          <w:szCs w:val="16"/>
          <w:bdr w:val="none" w:color="auto" w:sz="0" w:space="0"/>
        </w:rPr>
        <w:t>安庆师范大学电子工程与智能制造学院2023年 硕士研究生招生第二轮调剂公告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150" w:afterAutospacing="0"/>
        <w:ind w:left="0" w:right="0"/>
        <w:jc w:val="center"/>
        <w:rPr>
          <w:sz w:val="12"/>
          <w:szCs w:val="12"/>
        </w:rPr>
      </w:pPr>
      <w:r>
        <w:rPr>
          <w:sz w:val="12"/>
          <w:szCs w:val="12"/>
          <w:bdr w:val="none" w:color="auto" w:sz="0" w:space="0"/>
          <w:shd w:val="clear" w:fill="ECECEC"/>
        </w:rPr>
        <w:t>来源： 　发布时间：2023-04-12 18:27:55　点击次数：1071次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ascii="华文仿宋" w:hAnsi="华文仿宋" w:eastAsia="华文仿宋" w:cs="华文仿宋"/>
          <w:sz w:val="21"/>
          <w:szCs w:val="21"/>
          <w:bdr w:val="none" w:color="auto" w:sz="0" w:space="0"/>
        </w:rPr>
        <w:t>一、</w:t>
      </w: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调剂专业</w:t>
      </w:r>
    </w:p>
    <w:tbl>
      <w:tblPr>
        <w:tblW w:w="0" w:type="auto"/>
        <w:tblInd w:w="17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0"/>
        <w:gridCol w:w="1130"/>
        <w:gridCol w:w="1510"/>
        <w:gridCol w:w="1130"/>
        <w:gridCol w:w="10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70" w:hRule="atLeast"/>
        </w:trPr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所在学院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学科名称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调剂计划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电子工程与智能制造学院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081000</w:t>
            </w: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信息与通信工程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636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320"/>
            </w:pPr>
            <w:r>
              <w:rPr>
                <w:rFonts w:hint="default" w:ascii="华文仿宋" w:hAnsi="华文仿宋" w:eastAsia="华文仿宋" w:cs="华文仿宋"/>
                <w:sz w:val="16"/>
                <w:szCs w:val="16"/>
                <w:bdr w:val="none" w:color="auto" w:sz="0" w:space="0"/>
              </w:rPr>
              <w:t>根据实际计划执行情况进行适当调整，如有调整会及时在校院两级网站进行公布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（1）调剂考生必须符合国家教育部的基本规定，初试成绩达到国家划定的A类分数线。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（2）信息与通信工程学位点可接受报考专业代码为</w:t>
      </w: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0802、0803、0805、0808、0809、0810、0811、0812</w:t>
      </w: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的学术型硕士考生调剂，其中初试外国语须为英语（一）、业务课一须为数学（一）。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请各位调剂志愿考生仔细阅读我校招生简章、复试录取工作办法、调剂办法及学院复试细则，在满足调剂基本条件及专业调剂学术要求的基础上进行志愿填报。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三、调剂复试方式和调剂复试时间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（1）调剂复试方式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本学院信息与通信工程（0810）专业采用现场面试方式进行复试。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（2）调剂系统开通时间如下：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64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4月12日18：00至4月13日9：00。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（3）</w:t>
      </w: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调剂志愿复试时间地点安排：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复试时间为4月15日，具体复试安排另行通知。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（4）调剂考生须在接收到</w:t>
      </w: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“复试通知”3个小时内，登录调剂系统进行确认，否则视同放弃复试资格</w:t>
      </w: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。考生须密切关注学校通知，在规定时间内提交相关复试材料，并参加复试。具体按照《安庆师范大学2023年硕士研究生招生调剂办法》执行。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（5）复试结束后，我院将通过“调剂服务系统”向拟录取的调剂考生发放“待录取”通知，</w:t>
      </w: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考生应在1个小时内登录“调剂服务系统”进行确认，否则视为自动放弃</w:t>
      </w: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详细内容请参阅电子工程与智能制造学院2023年研究生招生复试录取工作实施细则（https://dzhxy.aqnu.edu.cn/info/1238/7055.htm）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咨询电话：0556-5303917 查老师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材料接收电子邮箱：296242731@qq.com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Style w:val="6"/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本公告由电子工程与智能制造学院2023年研究生复试录取领导小组负责解释。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  <w:jc w:val="right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电子工程与智能制造学院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30"/>
        <w:jc w:val="right"/>
      </w:pP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</w:rPr>
        <w:t>2023年4月12日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B61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742</Words>
  <Characters>884</Characters>
  <Lines>0</Lines>
  <Paragraphs>0</Paragraphs>
  <TotalTime>0</TotalTime>
  <ScaleCrop>false</ScaleCrop>
  <LinksUpToDate>false</LinksUpToDate>
  <CharactersWithSpaces>890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2023-05-25T07:09:44Z</dcterms:created>
  <dc:creator>Administrator</dc:creator>
  <cp:lastModifiedBy>王英</cp:lastModifiedBy>
  <dcterms:modified xsi:type="dcterms:W3CDTF">2023-05-25T07:09:56Z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55D7ADBA31F34881B87CACD95BCF3593</vt:lpwstr>
  </property>
</Properties>
</file>